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0D" w:rsidRDefault="0078640D" w:rsidP="0078640D">
      <w:pPr>
        <w:rPr>
          <w:sz w:val="25"/>
          <w:szCs w:val="25"/>
        </w:rPr>
      </w:pPr>
    </w:p>
    <w:p w:rsidR="00820D03" w:rsidRDefault="00820D03" w:rsidP="00820D03">
      <w:r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D942" wp14:editId="7C8C791D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 w:rsidRPr="009848A9">
        <w:rPr>
          <w:rFonts w:ascii="Lucida Sans Unicode" w:hAnsi="Lucida Sans Unicode" w:cs="Lucida Sans Unicode"/>
          <w:b/>
          <w:sz w:val="20"/>
        </w:rPr>
        <w:t>БАШКОРТОСТАН</w:t>
      </w:r>
      <w:r>
        <w:rPr>
          <w:rFonts w:ascii="Lucida Sans Unicode" w:hAnsi="Lucida Sans Unicode" w:cs="Lucida Sans Unicode"/>
          <w:b/>
          <w:sz w:val="20"/>
        </w:rPr>
        <w:t xml:space="preserve">      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proofErr w:type="gramStart"/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  СЕЛЬСКОГО   </w:t>
      </w:r>
      <w:r w:rsidRPr="009848A9">
        <w:rPr>
          <w:rFonts w:ascii="Lucida Sans Unicode" w:hAnsi="Lucida Sans Unicode" w:cs="Lucida Sans Unicode"/>
          <w:b/>
          <w:sz w:val="20"/>
        </w:rPr>
        <w:t>ПОСЕЛЕНИЯ</w:t>
      </w:r>
      <w:r>
        <w:rPr>
          <w:rFonts w:ascii="Lucida Sans Unicode" w:hAnsi="Lucida Sans Unicode" w:cs="Lucida Sans Unicode"/>
          <w:b/>
          <w:sz w:val="20"/>
        </w:rPr>
        <w:t xml:space="preserve">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    </w:t>
      </w:r>
      <w:r w:rsidRPr="009848A9">
        <w:rPr>
          <w:rFonts w:ascii="Lucida Sans Unicode" w:hAnsi="Lucida Sans Unicode" w:cs="Lucida Sans Unicode"/>
          <w:b/>
          <w:sz w:val="20"/>
        </w:rPr>
        <w:t>СЕЛЬСОВЕТ</w:t>
      </w:r>
      <w:r>
        <w:rPr>
          <w:rFonts w:ascii="Lucida Sans Unicode" w:hAnsi="Lucida Sans Unicode" w:cs="Lucida Sans Unicode"/>
          <w:b/>
          <w:sz w:val="20"/>
        </w:rPr>
        <w:t xml:space="preserve">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820D03" w:rsidRDefault="00820D03" w:rsidP="00820D03">
      <w:pPr>
        <w:ind w:hanging="900"/>
        <w:rPr>
          <w:sz w:val="28"/>
          <w:szCs w:val="28"/>
        </w:rPr>
      </w:pPr>
    </w:p>
    <w:p w:rsidR="00820D03" w:rsidRPr="00B528F9" w:rsidRDefault="00820D03" w:rsidP="00820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</w:t>
      </w:r>
      <w:r w:rsidR="00EC5838">
        <w:rPr>
          <w:b/>
          <w:sz w:val="28"/>
          <w:szCs w:val="28"/>
        </w:rPr>
        <w:t>7</w:t>
      </w:r>
      <w:r w:rsidR="002A7061">
        <w:rPr>
          <w:b/>
          <w:sz w:val="28"/>
          <w:szCs w:val="28"/>
        </w:rPr>
        <w:t>9</w:t>
      </w:r>
      <w:r w:rsidRPr="00B528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528F9">
        <w:rPr>
          <w:b/>
          <w:sz w:val="28"/>
          <w:szCs w:val="28"/>
        </w:rPr>
        <w:t xml:space="preserve">РЕШЕНИЕ </w:t>
      </w:r>
    </w:p>
    <w:p w:rsidR="00820D03" w:rsidRDefault="00820D03" w:rsidP="00820D03">
      <w:r>
        <w:rPr>
          <w:b/>
          <w:sz w:val="28"/>
          <w:szCs w:val="28"/>
        </w:rPr>
        <w:t xml:space="preserve">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декабрь 2021й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декабря 2021</w:t>
      </w:r>
      <w:r w:rsidRPr="00B528F9">
        <w:rPr>
          <w:b/>
          <w:sz w:val="28"/>
          <w:szCs w:val="28"/>
        </w:rPr>
        <w:t>г</w:t>
      </w:r>
    </w:p>
    <w:p w:rsidR="0078640D" w:rsidRDefault="0078640D" w:rsidP="0078640D"/>
    <w:p w:rsidR="0078640D" w:rsidRDefault="0078640D" w:rsidP="0078640D"/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proofErr w:type="gramStart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район Республики Башкортостан</w:t>
      </w: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        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соответствии с Конституцией Российской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Федерации,  Федеральным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законом от 06 октября 2003 года </w:t>
      </w:r>
      <w:r>
        <w:rPr>
          <w:rFonts w:eastAsiaTheme="minorHAnsi"/>
          <w:color w:val="000000"/>
          <w:sz w:val="28"/>
          <w:szCs w:val="28"/>
          <w:lang w:eastAsia="en-US"/>
        </w:rPr>
        <w:t>№131-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ФЗ 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Уставом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сельсовет, Совет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 Республики Башкортостан р е ш и л: </w:t>
      </w:r>
    </w:p>
    <w:p w:rsidR="002A7061" w:rsidRDefault="002A7061" w:rsidP="002A706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 Республики Башкортостан согласно приложению.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A7061" w:rsidRDefault="002A7061" w:rsidP="002A70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Настоящее решение разместить на официальном информационном сайте Администрации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район</w:t>
      </w: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Республики Башкортостан </w:t>
      </w:r>
      <w:hyperlink r:id="rId8" w:history="1">
        <w:r w:rsidRPr="002A7061">
          <w:rPr>
            <w:rStyle w:val="a5"/>
            <w:bCs/>
            <w:sz w:val="28"/>
            <w:szCs w:val="28"/>
          </w:rPr>
          <w:t>http://starosulli.ru/</w:t>
        </w:r>
      </w:hyperlink>
      <w:r w:rsidRPr="002A7061">
        <w:rPr>
          <w:bCs/>
          <w:sz w:val="28"/>
          <w:szCs w:val="28"/>
        </w:rPr>
        <w:t xml:space="preserve"> и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обнародовать на информационном стенде Администрации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район.  Республики Башкортостан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2A7061" w:rsidRDefault="002A7061" w:rsidP="002A70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3.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Настоящее решение вступает в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силу  со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дня подписания .</w:t>
      </w:r>
    </w:p>
    <w:p w:rsidR="002A7061" w:rsidRDefault="002A7061" w:rsidP="002A70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Глава сельского поселения                                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Р.Х.Абдуллин</w:t>
      </w:r>
      <w:proofErr w:type="spellEnd"/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Приложение решению Совета СП 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сельсовет  МР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proofErr w:type="spellStart"/>
      <w:proofErr w:type="gramStart"/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район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РБ 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№ </w:t>
      </w:r>
      <w:r>
        <w:rPr>
          <w:rFonts w:eastAsiaTheme="minorHAnsi"/>
          <w:color w:val="000000"/>
          <w:sz w:val="20"/>
          <w:szCs w:val="20"/>
          <w:lang w:eastAsia="en-US"/>
        </w:rPr>
        <w:t>179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от  2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3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.1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  <w:t xml:space="preserve">.2021г. 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0"/>
          <w:szCs w:val="20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ПОЛОЖЕНИЕ О ПОРЯДКЕ НАЗНАЧЕНИЯ И ПРОВЕДЕНИЯ СОБРАНИЙ,</w:t>
      </w: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КОНФЕРЕНЦИЙ ГРАЖДАН (СОБРАНИЙ ДЕЛЕГАТОВ) В ЦЕЛЯХ</w:t>
      </w: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РАССМОТРЕНИЯ И ОБСУЖДЕНИЯ ВОПРОСОВ ВНЕСЕНИЯ</w:t>
      </w: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ИНИЦИАТИВНЫХ ПРОЕКТОВ</w:t>
      </w:r>
    </w:p>
    <w:p w:rsidR="002A7061" w:rsidRDefault="002A7061" w:rsidP="002A706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2A7061" w:rsidRPr="0022765E" w:rsidRDefault="002A7061" w:rsidP="0022765E">
      <w:pPr>
        <w:pStyle w:val="af8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 w:rsidRPr="0022765E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Общие положения</w:t>
      </w:r>
    </w:p>
    <w:p w:rsidR="0022765E" w:rsidRPr="0022765E" w:rsidRDefault="0022765E" w:rsidP="0022765E">
      <w:pPr>
        <w:pStyle w:val="af8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2A7061" w:rsidRDefault="002A7061" w:rsidP="002A70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>
        <w:rPr>
          <w:rFonts w:eastAsiaTheme="minorHAnsi"/>
          <w:color w:val="000000"/>
          <w:sz w:val="26"/>
          <w:szCs w:val="26"/>
          <w:lang w:eastAsia="en-US"/>
        </w:rPr>
        <w:t>1.1.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Настоящее Положение в соответствии с Конституцией Российской Федерации, Федеральным законом от 06.10.2003 года </w:t>
      </w:r>
      <w:r>
        <w:rPr>
          <w:rFonts w:eastAsiaTheme="minorHAnsi"/>
          <w:color w:val="000000"/>
          <w:sz w:val="26"/>
          <w:szCs w:val="26"/>
          <w:lang w:eastAsia="en-US"/>
        </w:rPr>
        <w:t>№ 131-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Ф3 </w:t>
      </w:r>
      <w:r>
        <w:rPr>
          <w:rFonts w:eastAsiaTheme="minorHAnsi"/>
          <w:color w:val="000000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 общих принципах организации местного самоуправления в Российской  Федерации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Уставом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порядок назначения и проведения, а также полномочия собраний и конференций граждан (далее -конференций), как одной из форм участия населения в осуществлении местного самоуправления. </w:t>
      </w:r>
    </w:p>
    <w:p w:rsidR="002A7061" w:rsidRDefault="002A7061" w:rsidP="002A70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>
        <w:rPr>
          <w:rFonts w:eastAsiaTheme="minorHAnsi"/>
          <w:color w:val="000000"/>
          <w:sz w:val="26"/>
          <w:szCs w:val="26"/>
          <w:lang w:eastAsia="en-US"/>
        </w:rPr>
        <w:t>1.2.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 целях настоящего Положения:</w:t>
      </w:r>
    </w:p>
    <w:p w:rsidR="002A7061" w:rsidRDefault="002A7061" w:rsidP="002A70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proofErr w:type="spellStart"/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Башкортостан; </w:t>
      </w:r>
    </w:p>
    <w:p w:rsidR="0022765E" w:rsidRDefault="002A7061" w:rsidP="002A70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 </w:t>
      </w:r>
    </w:p>
    <w:p w:rsidR="002A7061" w:rsidRDefault="0022765E" w:rsidP="002A706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1.3.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Башкортостан, достигшие шестнадцатилетнего возраста.</w:t>
      </w:r>
    </w:p>
    <w:p w:rsidR="0022765E" w:rsidRDefault="0022765E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   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 </w:t>
      </w:r>
    </w:p>
    <w:p w:rsidR="0022765E" w:rsidRDefault="0022765E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1.4.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 </w:t>
      </w:r>
    </w:p>
    <w:p w:rsidR="0022765E" w:rsidRDefault="0022765E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  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1.5.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Собрание, конференция может принимать обращения к органам местного самоуправления и должностным лицам местного самоуправления, а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т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акже избирать лиц, уполномоченных представлять собрание во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заимоотношениях с органами местного самоуправления и должностными лицами местного самоуправления. </w:t>
      </w:r>
    </w:p>
    <w:p w:rsidR="0022765E" w:rsidRDefault="0022765E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1.6.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</w:p>
    <w:p w:rsidR="0022765E" w:rsidRDefault="0022765E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1.7.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и уставом соответствующего территориального общественного самоуправления. </w:t>
      </w:r>
    </w:p>
    <w:p w:rsidR="0029344D" w:rsidRDefault="0029344D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22765E" w:rsidRDefault="002A7061" w:rsidP="0029344D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2.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Общие принципы проведения собраний, конференций</w:t>
      </w:r>
    </w:p>
    <w:p w:rsidR="0029344D" w:rsidRDefault="0022765E" w:rsidP="002276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</w:p>
    <w:p w:rsidR="0022765E" w:rsidRDefault="0029344D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</w:t>
      </w:r>
      <w:bookmarkStart w:id="0" w:name="_GoBack"/>
      <w:bookmarkEnd w:id="0"/>
      <w:r w:rsidR="0022765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2.1.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Граждане участвуют в собраниях, конференциях лично. </w:t>
      </w:r>
    </w:p>
    <w:p w:rsidR="0022765E" w:rsidRDefault="0022765E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2.2.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Участие в собраниях, конференциях является свободным и добровольным. </w:t>
      </w:r>
    </w:p>
    <w:p w:rsidR="0022765E" w:rsidRDefault="0022765E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2.3.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Принятие решения на собраниях, конференциях осуществляется в соответствии с порядком, определенным участниками собрания (конференции). </w:t>
      </w:r>
    </w:p>
    <w:p w:rsidR="0022765E" w:rsidRDefault="0022765E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2.4.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Каждый гражданин, участвующий в собрании, конференции, имеет один голос. </w:t>
      </w:r>
    </w:p>
    <w:p w:rsidR="0022765E" w:rsidRDefault="0022765E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2.5.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 </w:t>
      </w:r>
    </w:p>
    <w:p w:rsidR="0022765E" w:rsidRDefault="0022765E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</w:t>
      </w:r>
      <w:r w:rsidR="002A7061">
        <w:rPr>
          <w:rFonts w:eastAsiaTheme="minorHAnsi"/>
          <w:color w:val="000000"/>
          <w:sz w:val="26"/>
          <w:szCs w:val="26"/>
          <w:lang w:eastAsia="en-US"/>
        </w:rPr>
        <w:t>2.6.</w:t>
      </w:r>
      <w:r w:rsidR="002A706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 w:rsidR="002A7061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Башкортостан, органов территориального общественного самоуправления и средств массовой информации (далее - заинтересованные лица). </w:t>
      </w:r>
    </w:p>
    <w:p w:rsidR="0022765E" w:rsidRDefault="002A7061" w:rsidP="0022765E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3.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Инициатива проведения и порядок назначения собраний, конференций</w:t>
      </w:r>
    </w:p>
    <w:p w:rsidR="002A7061" w:rsidRDefault="002A7061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3.1.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Собрание, конференция проводятся по инициативе населения сельского поселения </w:t>
      </w:r>
      <w:proofErr w:type="spellStart"/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</w:p>
    <w:p w:rsidR="002A7061" w:rsidRDefault="002A7061" w:rsidP="002276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Инициатором проведения собраний, конференций от имени населения может выступать инициативная группа. </w:t>
      </w:r>
      <w:r>
        <w:rPr>
          <w:rFonts w:eastAsiaTheme="minorHAnsi"/>
          <w:color w:val="000000"/>
          <w:sz w:val="26"/>
          <w:szCs w:val="26"/>
          <w:lang w:eastAsia="en-US"/>
        </w:rPr>
        <w:t>3.2.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Протокол собрания инициативной группы должен содержать следующие данные: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инициативный проект (проекты), который (которые) предлагается обсудить;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территория проведения собрания,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время, дату и место проведения собрания,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количество граждан, имеющих право на участие в собрании,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фамилии, имена, отчества уполномоченных инициативной группы граждан по проведению собрания, конференции, которые от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lastRenderedPageBreak/>
        <w:t xml:space="preserve">имени инициативной группы вправе осуществлять действия, необходимые для подготовки и проведения собрания,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информацию, предусмотренную частью 3 статьи 26.1 Федерального закона от 06.10.2003 года </w:t>
      </w:r>
      <w:r>
        <w:rPr>
          <w:rFonts w:eastAsiaTheme="minorHAnsi"/>
          <w:color w:val="000000"/>
          <w:sz w:val="26"/>
          <w:szCs w:val="26"/>
          <w:lang w:eastAsia="en-US"/>
        </w:rPr>
        <w:t>№ 131-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ФЗ </w:t>
      </w:r>
      <w:r>
        <w:rPr>
          <w:rFonts w:eastAsiaTheme="minorHAnsi"/>
          <w:color w:val="000000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color w:val="000000"/>
          <w:sz w:val="26"/>
          <w:szCs w:val="26"/>
          <w:lang w:eastAsia="en-US"/>
        </w:rPr>
        <w:t>». 3.3.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</w:t>
      </w:r>
      <w:r>
        <w:rPr>
          <w:rFonts w:eastAsiaTheme="minorHAnsi"/>
          <w:color w:val="000000"/>
          <w:sz w:val="26"/>
          <w:szCs w:val="26"/>
          <w:lang w:eastAsia="en-US"/>
        </w:rPr>
        <w:t>3.4.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</w:t>
      </w:r>
      <w:r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 соответствии с его регламентом.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3.5.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Совет сельского поселения </w:t>
      </w:r>
      <w:proofErr w:type="spellStart"/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Башкортостан. </w:t>
      </w:r>
      <w:r>
        <w:rPr>
          <w:rFonts w:eastAsiaTheme="minorHAnsi"/>
          <w:color w:val="000000"/>
          <w:sz w:val="26"/>
          <w:szCs w:val="26"/>
          <w:lang w:eastAsia="en-US"/>
        </w:rPr>
        <w:t>3.6.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Подготовку и проведение собраний, конференций осуществляет инициативная группа. </w:t>
      </w:r>
      <w:r>
        <w:rPr>
          <w:rFonts w:eastAsiaTheme="minorHAnsi"/>
          <w:color w:val="000000"/>
          <w:sz w:val="26"/>
          <w:szCs w:val="26"/>
          <w:lang w:eastAsia="en-US"/>
        </w:rPr>
        <w:t>3.7.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 решении Совета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о назначении проведения собрания, конференции указываются: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инициатор проведения собрания,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дата, место и время проведения собрания,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повестка собрания,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территория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на которой проводится собрание, конференция;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лица, ответственные за подготовку и проведение собраний, конференций.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3.8.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Решение о назначении собраний, конференций подлежит официальному опубликованию (обнародованию).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4.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Оповещение граждан о собраниях, конференциях </w:t>
      </w:r>
      <w:r>
        <w:rPr>
          <w:rFonts w:eastAsiaTheme="minorHAnsi"/>
          <w:color w:val="000000"/>
          <w:sz w:val="26"/>
          <w:szCs w:val="26"/>
          <w:lang w:eastAsia="en-US"/>
        </w:rPr>
        <w:t>4.1.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</w:t>
      </w:r>
      <w:r>
        <w:rPr>
          <w:rFonts w:eastAsiaTheme="minorHAnsi"/>
          <w:color w:val="000000"/>
          <w:sz w:val="26"/>
          <w:szCs w:val="26"/>
          <w:lang w:eastAsia="en-US"/>
        </w:rPr>
        <w:t>(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вопросах), а также об инициаторе в следующие сроки: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 собрании - не менее чем за 7 дней до его проведения;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 конференции - не менее чем за 14 дней до ее проведения. </w:t>
      </w:r>
      <w:r>
        <w:rPr>
          <w:rFonts w:eastAsiaTheme="minorHAnsi"/>
          <w:color w:val="000000"/>
          <w:sz w:val="26"/>
          <w:szCs w:val="26"/>
          <w:lang w:eastAsia="en-US"/>
        </w:rPr>
        <w:t>4.2.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Инициатор проведения собрания, конференции самостоятельно, с учетом местных условий, определяет способ оповещения граждан.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5.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Порядок проведения собрания </w:t>
      </w:r>
      <w:r>
        <w:rPr>
          <w:rFonts w:eastAsiaTheme="minorHAnsi"/>
          <w:color w:val="000000"/>
          <w:sz w:val="26"/>
          <w:szCs w:val="26"/>
          <w:lang w:eastAsia="en-US"/>
        </w:rPr>
        <w:t>5.1.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Собрание граждан проводится, если общее число граждан, имеющих право на участие в собрании, не превышает 100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человек. </w:t>
      </w:r>
      <w:r>
        <w:rPr>
          <w:rFonts w:eastAsiaTheme="minorHAnsi"/>
          <w:color w:val="000000"/>
          <w:sz w:val="26"/>
          <w:szCs w:val="26"/>
          <w:lang w:eastAsia="en-US"/>
        </w:rPr>
        <w:t>5.2.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Регистрация участников собрания проводится непосредственно перед его проведением ответственными лицами. </w:t>
      </w:r>
      <w:r>
        <w:rPr>
          <w:rFonts w:eastAsiaTheme="minorHAnsi"/>
          <w:color w:val="000000"/>
          <w:sz w:val="26"/>
          <w:szCs w:val="26"/>
          <w:lang w:eastAsia="en-US"/>
        </w:rPr>
        <w:t>5.3.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Собрание открывается ответственным за его проведение лицом, либо одним из членов инициативной группы.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lastRenderedPageBreak/>
        <w:t xml:space="preserve">производятся простым большинством голосов участников собрания по представлению лица, открывающего собрание. </w:t>
      </w:r>
      <w:r>
        <w:rPr>
          <w:rFonts w:eastAsiaTheme="minorHAnsi"/>
          <w:color w:val="000000"/>
          <w:sz w:val="26"/>
          <w:szCs w:val="26"/>
          <w:lang w:eastAsia="en-US"/>
        </w:rPr>
        <w:t>5.4.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Для подсчета голосов при проведении голосования из числа участников собрания избирается счетная комиссия. </w:t>
      </w:r>
      <w:r>
        <w:rPr>
          <w:rFonts w:eastAsiaTheme="minorHAnsi"/>
          <w:color w:val="000000"/>
          <w:sz w:val="26"/>
          <w:szCs w:val="26"/>
          <w:lang w:eastAsia="en-US"/>
        </w:rPr>
        <w:t>5.5.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 голосовании участвуют только граждане, включенные в список участников собрания, зарегистрированные в качестве участников собрания. </w:t>
      </w:r>
      <w:r>
        <w:rPr>
          <w:rFonts w:eastAsiaTheme="minorHAnsi"/>
          <w:color w:val="000000"/>
          <w:sz w:val="26"/>
          <w:szCs w:val="26"/>
          <w:lang w:eastAsia="en-US"/>
        </w:rPr>
        <w:t>5.6.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 </w:t>
      </w:r>
      <w:r>
        <w:rPr>
          <w:rFonts w:eastAsiaTheme="minorHAnsi"/>
          <w:color w:val="000000"/>
          <w:sz w:val="26"/>
          <w:szCs w:val="26"/>
          <w:lang w:eastAsia="en-US"/>
        </w:rPr>
        <w:t>5.7.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Протокол собрания оформляется в соответствии с настоящим Положением. Решение собрания в течение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7  дней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доводится до сведения сельского поселения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Старосуллинский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Ермекеевский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 Республики Башкортостан и заинтересованных лиц.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6.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Основания проведения конференции, норма представительства </w:t>
      </w:r>
      <w:r>
        <w:rPr>
          <w:rFonts w:eastAsiaTheme="minorHAnsi"/>
          <w:color w:val="000000"/>
          <w:sz w:val="26"/>
          <w:szCs w:val="26"/>
          <w:lang w:eastAsia="en-US"/>
        </w:rPr>
        <w:t>6.1.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При вынесении на рассмотрение инициативного проекта (проектов), непосредственно затрагивающего(-их) интересы более 100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 </w:t>
      </w:r>
      <w:r>
        <w:rPr>
          <w:rFonts w:eastAsiaTheme="minorHAnsi"/>
          <w:color w:val="000000"/>
          <w:sz w:val="26"/>
          <w:szCs w:val="26"/>
          <w:lang w:eastAsia="en-US"/>
        </w:rPr>
        <w:t>6.2.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10 граждан, имеющих право на участие в собрании.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7.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Порядок проведения выборов делегатов на конференцию </w:t>
      </w:r>
      <w:r>
        <w:rPr>
          <w:rFonts w:eastAsiaTheme="minorHAnsi"/>
          <w:color w:val="000000"/>
          <w:sz w:val="26"/>
          <w:szCs w:val="26"/>
          <w:lang w:eastAsia="en-US"/>
        </w:rPr>
        <w:t>7.1.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Выборы делегатов на конференцию проводятся от группы квартир, подъездов, дома или группы домов, а также населенных пунктов. </w:t>
      </w:r>
      <w:r>
        <w:rPr>
          <w:rFonts w:eastAsiaTheme="minorHAnsi"/>
          <w:color w:val="000000"/>
          <w:sz w:val="26"/>
          <w:szCs w:val="26"/>
          <w:lang w:eastAsia="en-US"/>
        </w:rPr>
        <w:t>7.2.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Выдвижение и выборы делегатов проходят в форме сбора подписей граждан под подписными листами. </w:t>
      </w:r>
      <w:r>
        <w:rPr>
          <w:rFonts w:eastAsiaTheme="minorHAnsi"/>
          <w:color w:val="000000"/>
          <w:sz w:val="26"/>
          <w:szCs w:val="26"/>
          <w:lang w:eastAsia="en-US"/>
        </w:rPr>
        <w:t>7.3.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 </w:t>
      </w:r>
      <w:r>
        <w:rPr>
          <w:rFonts w:eastAsiaTheme="minorHAnsi"/>
          <w:color w:val="000000"/>
          <w:sz w:val="26"/>
          <w:szCs w:val="26"/>
          <w:lang w:eastAsia="en-US"/>
        </w:rPr>
        <w:t>7.4.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8.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Порядок проведения конференции </w:t>
      </w:r>
      <w:r>
        <w:rPr>
          <w:rFonts w:eastAsiaTheme="minorHAnsi"/>
          <w:color w:val="000000"/>
          <w:sz w:val="26"/>
          <w:szCs w:val="26"/>
          <w:lang w:eastAsia="en-US"/>
        </w:rPr>
        <w:t>8.1.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Конференция проводится в соответствии с регламентом работы, утверждаемым ее делегатами. </w:t>
      </w:r>
      <w:r>
        <w:rPr>
          <w:rFonts w:eastAsiaTheme="minorHAnsi"/>
          <w:color w:val="000000"/>
          <w:sz w:val="26"/>
          <w:szCs w:val="26"/>
          <w:lang w:eastAsia="en-US"/>
        </w:rPr>
        <w:t>8.2.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Конференция правомочна, если в ней приняли участие не менее 2/3 делегатов, уполномоченных для участия в конференции. </w:t>
      </w:r>
      <w:r>
        <w:rPr>
          <w:rFonts w:eastAsiaTheme="minorHAnsi"/>
          <w:color w:val="000000"/>
          <w:sz w:val="26"/>
          <w:szCs w:val="26"/>
          <w:lang w:eastAsia="en-US"/>
        </w:rPr>
        <w:t>8.3.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Решения конференции принимаются большинством голосов от списочного состава делегатов. </w:t>
      </w:r>
      <w:r>
        <w:rPr>
          <w:rFonts w:eastAsiaTheme="minorHAnsi"/>
          <w:color w:val="000000"/>
          <w:sz w:val="26"/>
          <w:szCs w:val="26"/>
          <w:lang w:eastAsia="en-US"/>
        </w:rPr>
        <w:t>8.4.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Протокол конференции оформляется в соответствии с настоящим Положением. Решение конференции в течение 10 дней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доводится  до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сведения органов местного самоуправления и заинтересованных лиц.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9.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Полномочия собрания, конференции </w:t>
      </w:r>
      <w:r>
        <w:rPr>
          <w:rFonts w:eastAsiaTheme="minorHAnsi"/>
          <w:color w:val="000000"/>
          <w:sz w:val="26"/>
          <w:szCs w:val="26"/>
          <w:lang w:eastAsia="en-US"/>
        </w:rPr>
        <w:t>9.1.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 полномочиям собрания, конференции относятся: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обсуждение вопросов внесения инициативных проектов и их рассмотрения;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внесение предложений и рекомендаций по обсуждаемым вопросам на собрании;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осуществление иных полномочий, предусмотренных действующим законодательством.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10.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Итоги собраний, конференций </w:t>
      </w:r>
      <w:r>
        <w:rPr>
          <w:rFonts w:eastAsiaTheme="minorHAnsi"/>
          <w:color w:val="000000"/>
          <w:sz w:val="26"/>
          <w:szCs w:val="26"/>
          <w:lang w:eastAsia="en-US"/>
        </w:rPr>
        <w:t>10.1.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Ход и итоги собрания, конференции оформляются протоколом.</w:t>
      </w:r>
    </w:p>
    <w:p w:rsidR="002A7061" w:rsidRDefault="002A7061" w:rsidP="002A7061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Протокол должен содержать следующие данные: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дата, время и место проведения собрания, конференции;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инициатор проведения собрания,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состав президиума собрания,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состав счетной комиссии собрания,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адреса домов и номера подъездов, жители которых участвуют в собрании,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количество граждан, имеющих право на участие в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lastRenderedPageBreak/>
        <w:t xml:space="preserve">собрании или делегатов, избранных на конференцию;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количество граждан, зарегистрированных в качестве участников собрания или делегатов конференции;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полная формулировка рассматриваемого инициативного проекта </w:t>
      </w:r>
      <w:r>
        <w:rPr>
          <w:rFonts w:eastAsiaTheme="minorHAnsi"/>
          <w:color w:val="000000"/>
          <w:sz w:val="26"/>
          <w:szCs w:val="26"/>
          <w:lang w:eastAsia="en-US"/>
        </w:rPr>
        <w:t>(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проектов), выносимого(-ых) на голосование;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результаты голосования и принятое решение; </w:t>
      </w:r>
      <w:r>
        <w:rPr>
          <w:rFonts w:eastAsiaTheme="minorHAnsi"/>
          <w:color w:val="000000"/>
          <w:sz w:val="26"/>
          <w:szCs w:val="26"/>
          <w:lang w:eastAsia="en-US"/>
        </w:rPr>
        <w:t>-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подпись председателя и секретаря собрания, конференции.</w:t>
      </w:r>
    </w:p>
    <w:p w:rsidR="00FB4D75" w:rsidRDefault="002A7061" w:rsidP="002A7061">
      <w:pPr>
        <w:pStyle w:val="ab"/>
        <w:spacing w:before="0" w:beforeAutospacing="0" w:after="0" w:afterAutospacing="0"/>
        <w:jc w:val="both"/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 </w:t>
      </w:r>
      <w:r>
        <w:rPr>
          <w:rFonts w:eastAsiaTheme="minorHAnsi"/>
          <w:color w:val="000000"/>
          <w:sz w:val="26"/>
          <w:szCs w:val="26"/>
          <w:lang w:eastAsia="en-US"/>
        </w:rPr>
        <w:t>10.2.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 </w:t>
      </w:r>
      <w:r>
        <w:rPr>
          <w:rFonts w:eastAsiaTheme="minorHAnsi"/>
          <w:color w:val="000000"/>
          <w:sz w:val="26"/>
          <w:szCs w:val="26"/>
          <w:lang w:eastAsia="en-US"/>
        </w:rPr>
        <w:t>10.3.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 </w:t>
      </w:r>
      <w:r>
        <w:rPr>
          <w:rFonts w:eastAsiaTheme="minorHAnsi"/>
          <w:color w:val="000000"/>
          <w:sz w:val="26"/>
          <w:szCs w:val="26"/>
          <w:lang w:eastAsia="en-US"/>
        </w:rPr>
        <w:t>10.4.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Итоги собраний, конференций подлежат официальному опубликованию (обнародованию).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11.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Финансирование проведения собраний, конференций </w:t>
      </w:r>
      <w:r>
        <w:rPr>
          <w:rFonts w:eastAsiaTheme="minorHAnsi"/>
          <w:color w:val="000000"/>
          <w:sz w:val="26"/>
          <w:szCs w:val="26"/>
          <w:lang w:eastAsia="en-US"/>
        </w:rPr>
        <w:t>11.1.</w:t>
      </w: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sectPr w:rsidR="00FB4D75" w:rsidSect="0078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EB" w:rsidRDefault="00C272EB" w:rsidP="00EC5838">
      <w:r>
        <w:separator/>
      </w:r>
    </w:p>
  </w:endnote>
  <w:endnote w:type="continuationSeparator" w:id="0">
    <w:p w:rsidR="00C272EB" w:rsidRDefault="00C272EB" w:rsidP="00E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EB" w:rsidRDefault="00C272EB" w:rsidP="00EC5838">
      <w:r>
        <w:separator/>
      </w:r>
    </w:p>
  </w:footnote>
  <w:footnote w:type="continuationSeparator" w:id="0">
    <w:p w:rsidR="00C272EB" w:rsidRDefault="00C272EB" w:rsidP="00E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2A78"/>
    <w:multiLevelType w:val="hybridMultilevel"/>
    <w:tmpl w:val="F88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9" w15:restartNumberingAfterBreak="0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D"/>
    <w:rsid w:val="00101CB0"/>
    <w:rsid w:val="0014489B"/>
    <w:rsid w:val="00180472"/>
    <w:rsid w:val="00221D76"/>
    <w:rsid w:val="0022765E"/>
    <w:rsid w:val="0029344D"/>
    <w:rsid w:val="002A7061"/>
    <w:rsid w:val="002C3870"/>
    <w:rsid w:val="003D5724"/>
    <w:rsid w:val="00452D9B"/>
    <w:rsid w:val="0050175A"/>
    <w:rsid w:val="005B4C5C"/>
    <w:rsid w:val="00641D3B"/>
    <w:rsid w:val="006D7CD9"/>
    <w:rsid w:val="006E5ADF"/>
    <w:rsid w:val="0078640D"/>
    <w:rsid w:val="00820D03"/>
    <w:rsid w:val="00931924"/>
    <w:rsid w:val="00977D8E"/>
    <w:rsid w:val="00BC6B1E"/>
    <w:rsid w:val="00C272EB"/>
    <w:rsid w:val="00CF4D21"/>
    <w:rsid w:val="00DB4CED"/>
    <w:rsid w:val="00E655D3"/>
    <w:rsid w:val="00EC5838"/>
    <w:rsid w:val="00EF4CB1"/>
    <w:rsid w:val="00F81C71"/>
    <w:rsid w:val="00FB4D7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F262"/>
  <w15:docId w15:val="{E0F72DC3-88E8-42CD-B43E-D5C9495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80472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link w:val="30"/>
    <w:qFormat/>
    <w:rsid w:val="00EC58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180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180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804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80472"/>
    <w:pPr>
      <w:keepNext/>
      <w:numPr>
        <w:numId w:val="5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57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rsid w:val="00EC5838"/>
    <w:rPr>
      <w:color w:val="0000FF"/>
      <w:u w:val="single"/>
    </w:rPr>
  </w:style>
  <w:style w:type="paragraph" w:customStyle="1" w:styleId="ConsPlusTitle">
    <w:name w:val="ConsPlusTitle"/>
    <w:rsid w:val="00EC58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C58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C58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583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EC58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2"/>
    <w:rsid w:val="00EC583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EC58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5838"/>
    <w:rPr>
      <w:vertAlign w:val="superscript"/>
    </w:rPr>
  </w:style>
  <w:style w:type="paragraph" w:customStyle="1" w:styleId="s16">
    <w:name w:val="s_16"/>
    <w:basedOn w:val="a"/>
    <w:rsid w:val="00EC5838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C5838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5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EC583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C5838"/>
  </w:style>
  <w:style w:type="paragraph" w:styleId="ab">
    <w:name w:val="Normal (Web)"/>
    <w:basedOn w:val="a"/>
    <w:unhideWhenUsed/>
    <w:rsid w:val="006E5A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804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04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4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04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c">
    <w:name w:val="Body Text"/>
    <w:basedOn w:val="a"/>
    <w:link w:val="ad"/>
    <w:unhideWhenUsed/>
    <w:rsid w:val="001804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47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180472"/>
    <w:pPr>
      <w:jc w:val="center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0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180472"/>
    <w:pPr>
      <w:ind w:left="3960" w:firstLine="3780"/>
      <w:jc w:val="center"/>
    </w:pPr>
  </w:style>
  <w:style w:type="character" w:customStyle="1" w:styleId="af">
    <w:name w:val="Основной текст с отступом Знак"/>
    <w:basedOn w:val="a0"/>
    <w:link w:val="ae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180472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1804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3">
    <w:name w:val="Гиперссылка2"/>
    <w:rsid w:val="00180472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uiPriority w:val="99"/>
    <w:rsid w:val="00180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2A7061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22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sull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2</cp:revision>
  <cp:lastPrinted>2021-12-17T11:19:00Z</cp:lastPrinted>
  <dcterms:created xsi:type="dcterms:W3CDTF">2021-12-27T10:52:00Z</dcterms:created>
  <dcterms:modified xsi:type="dcterms:W3CDTF">2021-12-27T10:52:00Z</dcterms:modified>
</cp:coreProperties>
</file>